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CA62D" w14:textId="48FF70B2" w:rsidR="00E22E13" w:rsidRDefault="006D3005" w:rsidP="006D3005">
      <w:pPr>
        <w:rPr>
          <w:sz w:val="24"/>
          <w:szCs w:val="32"/>
        </w:rPr>
      </w:pPr>
      <w:r w:rsidRPr="006D3005">
        <w:rPr>
          <w:rFonts w:hint="eastAsia"/>
          <w:sz w:val="32"/>
          <w:szCs w:val="40"/>
        </w:rPr>
        <w:t>評価表</w:t>
      </w:r>
      <w:r>
        <w:rPr>
          <w:rFonts w:hint="eastAsia"/>
          <w:sz w:val="22"/>
          <w:szCs w:val="28"/>
        </w:rPr>
        <w:t xml:space="preserve">　</w:t>
      </w:r>
      <w:r w:rsidRPr="006D3005">
        <w:rPr>
          <w:rFonts w:hint="eastAsia"/>
          <w:sz w:val="24"/>
          <w:szCs w:val="32"/>
        </w:rPr>
        <w:t>（</w:t>
      </w:r>
      <w:r w:rsidR="005F378C">
        <w:rPr>
          <w:rFonts w:hint="eastAsia"/>
          <w:sz w:val="24"/>
          <w:szCs w:val="32"/>
        </w:rPr>
        <w:t>24時間</w:t>
      </w:r>
      <w:r w:rsidRPr="006D3005">
        <w:rPr>
          <w:rFonts w:hint="eastAsia"/>
          <w:sz w:val="24"/>
          <w:szCs w:val="32"/>
        </w:rPr>
        <w:t>オンライン相談業務委託）</w:t>
      </w:r>
    </w:p>
    <w:p w14:paraId="4DDDD62E" w14:textId="4F312D26" w:rsidR="00E22E13" w:rsidRPr="006D6FE3" w:rsidRDefault="00E22E13" w:rsidP="006D3005">
      <w:pPr>
        <w:rPr>
          <w:sz w:val="22"/>
          <w:szCs w:val="28"/>
        </w:rPr>
      </w:pPr>
      <w:r w:rsidRPr="006D6FE3">
        <w:rPr>
          <w:rFonts w:hint="eastAsia"/>
          <w:sz w:val="22"/>
          <w:szCs w:val="28"/>
        </w:rPr>
        <w:t>１、それぞれの審査委員が下記の評価視点を基に、各評価項目の評価を行う。</w:t>
      </w:r>
    </w:p>
    <w:tbl>
      <w:tblPr>
        <w:tblStyle w:val="aa"/>
        <w:tblpPr w:leftFromText="142" w:rightFromText="142" w:vertAnchor="text" w:horzAnchor="margin" w:tblpXSpec="center" w:tblpY="510"/>
        <w:tblOverlap w:val="never"/>
        <w:tblW w:w="10910" w:type="dxa"/>
        <w:tblLook w:val="04A0" w:firstRow="1" w:lastRow="0" w:firstColumn="1" w:lastColumn="0" w:noHBand="0" w:noVBand="1"/>
      </w:tblPr>
      <w:tblGrid>
        <w:gridCol w:w="2830"/>
        <w:gridCol w:w="6804"/>
        <w:gridCol w:w="1276"/>
      </w:tblGrid>
      <w:tr w:rsidR="00BF4A66" w:rsidRPr="00E271D1" w14:paraId="359A9D9D" w14:textId="77777777" w:rsidTr="00BF4A66">
        <w:tc>
          <w:tcPr>
            <w:tcW w:w="2830" w:type="dxa"/>
            <w:shd w:val="clear" w:color="auto" w:fill="E8E8E8" w:themeFill="background2"/>
            <w:vAlign w:val="center"/>
          </w:tcPr>
          <w:p w14:paraId="349CA002" w14:textId="77777777" w:rsidR="00BF4A66" w:rsidRPr="006D3005" w:rsidRDefault="00BF4A66" w:rsidP="00BF4A66">
            <w:pPr>
              <w:jc w:val="center"/>
              <w:rPr>
                <w:sz w:val="22"/>
                <w:szCs w:val="28"/>
              </w:rPr>
            </w:pPr>
            <w:r w:rsidRPr="006D3005">
              <w:rPr>
                <w:rFonts w:hint="eastAsia"/>
                <w:sz w:val="22"/>
                <w:szCs w:val="28"/>
              </w:rPr>
              <w:t>評価項目</w:t>
            </w:r>
          </w:p>
        </w:tc>
        <w:tc>
          <w:tcPr>
            <w:tcW w:w="6804" w:type="dxa"/>
            <w:shd w:val="clear" w:color="auto" w:fill="E8E8E8" w:themeFill="background2"/>
            <w:vAlign w:val="center"/>
          </w:tcPr>
          <w:p w14:paraId="77B32C7D" w14:textId="77777777" w:rsidR="00BF4A66" w:rsidRPr="006D3005" w:rsidRDefault="00BF4A66" w:rsidP="00BF4A66">
            <w:pPr>
              <w:jc w:val="center"/>
              <w:rPr>
                <w:sz w:val="22"/>
                <w:szCs w:val="28"/>
              </w:rPr>
            </w:pPr>
            <w:r w:rsidRPr="006D3005">
              <w:rPr>
                <w:rFonts w:hint="eastAsia"/>
                <w:sz w:val="22"/>
                <w:szCs w:val="28"/>
              </w:rPr>
              <w:t>評価基準</w:t>
            </w:r>
          </w:p>
        </w:tc>
        <w:tc>
          <w:tcPr>
            <w:tcW w:w="1276" w:type="dxa"/>
            <w:shd w:val="clear" w:color="auto" w:fill="E8E8E8" w:themeFill="background2"/>
          </w:tcPr>
          <w:p w14:paraId="2FBEA75B" w14:textId="77777777" w:rsidR="00BF4A66" w:rsidRPr="006D3005" w:rsidRDefault="00BF4A66" w:rsidP="00BF4A66">
            <w:pPr>
              <w:jc w:val="center"/>
              <w:rPr>
                <w:sz w:val="24"/>
                <w:szCs w:val="32"/>
              </w:rPr>
            </w:pPr>
            <w:r w:rsidRPr="006D3005">
              <w:rPr>
                <w:rFonts w:hint="eastAsia"/>
                <w:sz w:val="22"/>
                <w:szCs w:val="28"/>
              </w:rPr>
              <w:t>配点</w:t>
            </w:r>
          </w:p>
          <w:p w14:paraId="40270FEC" w14:textId="77777777" w:rsidR="00BF4A66" w:rsidRPr="006D3005" w:rsidRDefault="00BF4A66" w:rsidP="00BF4A66">
            <w:pPr>
              <w:jc w:val="center"/>
              <w:rPr>
                <w:sz w:val="24"/>
                <w:szCs w:val="32"/>
              </w:rPr>
            </w:pPr>
            <w:r w:rsidRPr="006D3005">
              <w:rPr>
                <w:rFonts w:hint="eastAsia"/>
                <w:sz w:val="16"/>
                <w:szCs w:val="20"/>
              </w:rPr>
              <w:t>（100点満点）</w:t>
            </w:r>
          </w:p>
        </w:tc>
      </w:tr>
      <w:tr w:rsidR="00BF4A66" w:rsidRPr="00E271D1" w14:paraId="689E9C6E" w14:textId="77777777" w:rsidTr="00BF4A66">
        <w:tc>
          <w:tcPr>
            <w:tcW w:w="2830" w:type="dxa"/>
          </w:tcPr>
          <w:p w14:paraId="079D5174" w14:textId="77777777" w:rsidR="00BF4A66" w:rsidRPr="00E271D1" w:rsidRDefault="00BF4A66" w:rsidP="00BF4A66">
            <w:pPr>
              <w:rPr>
                <w:sz w:val="22"/>
                <w:szCs w:val="28"/>
              </w:rPr>
            </w:pPr>
            <w:r w:rsidRPr="00E271D1">
              <w:rPr>
                <w:rFonts w:hint="eastAsia"/>
                <w:sz w:val="22"/>
                <w:szCs w:val="28"/>
              </w:rPr>
              <w:t>方針及び基本的な考え方</w:t>
            </w:r>
          </w:p>
        </w:tc>
        <w:tc>
          <w:tcPr>
            <w:tcW w:w="6804" w:type="dxa"/>
            <w:vAlign w:val="center"/>
          </w:tcPr>
          <w:p w14:paraId="394A7235" w14:textId="77777777" w:rsidR="00BF4A66" w:rsidRPr="00E271D1" w:rsidRDefault="00BF4A66" w:rsidP="00BF4A66">
            <w:pPr>
              <w:rPr>
                <w:sz w:val="22"/>
                <w:szCs w:val="28"/>
              </w:rPr>
            </w:pPr>
            <w:r w:rsidRPr="00E271D1">
              <w:rPr>
                <w:rFonts w:hint="eastAsia"/>
                <w:sz w:val="22"/>
                <w:szCs w:val="28"/>
              </w:rPr>
              <w:t>・本市が掲げる方針を踏まえた提案がされている。</w:t>
            </w:r>
          </w:p>
          <w:p w14:paraId="780C3564" w14:textId="77777777" w:rsidR="00BF4A66" w:rsidRPr="00E271D1" w:rsidRDefault="00BF4A66" w:rsidP="00BF4A66">
            <w:pPr>
              <w:rPr>
                <w:sz w:val="22"/>
                <w:szCs w:val="28"/>
              </w:rPr>
            </w:pPr>
            <w:r w:rsidRPr="00E271D1">
              <w:rPr>
                <w:rFonts w:hint="eastAsia"/>
                <w:sz w:val="22"/>
                <w:szCs w:val="28"/>
              </w:rPr>
              <w:t>・委託業務の運営・管理内容が具体的に理解・検討され、それに基づいた考え方が明確かつ現実的に示されている。</w:t>
            </w:r>
          </w:p>
        </w:tc>
        <w:tc>
          <w:tcPr>
            <w:tcW w:w="1276" w:type="dxa"/>
            <w:vAlign w:val="center"/>
          </w:tcPr>
          <w:p w14:paraId="07692AE1" w14:textId="77777777" w:rsidR="00BF4A66" w:rsidRPr="00E271D1" w:rsidRDefault="00BF4A66" w:rsidP="00BF4A66">
            <w:pPr>
              <w:jc w:val="center"/>
              <w:rPr>
                <w:sz w:val="22"/>
                <w:szCs w:val="28"/>
              </w:rPr>
            </w:pPr>
            <w:r w:rsidRPr="00E271D1">
              <w:rPr>
                <w:rFonts w:hint="eastAsia"/>
                <w:sz w:val="22"/>
                <w:szCs w:val="28"/>
              </w:rPr>
              <w:t>２０</w:t>
            </w:r>
          </w:p>
        </w:tc>
      </w:tr>
      <w:tr w:rsidR="00BF4A66" w:rsidRPr="00E271D1" w14:paraId="185E29E2" w14:textId="77777777" w:rsidTr="00BF4A66">
        <w:tc>
          <w:tcPr>
            <w:tcW w:w="2830" w:type="dxa"/>
          </w:tcPr>
          <w:p w14:paraId="27E405A0" w14:textId="77777777" w:rsidR="00BF4A66" w:rsidRPr="00E271D1" w:rsidRDefault="00BF4A66" w:rsidP="00BF4A66">
            <w:pPr>
              <w:rPr>
                <w:sz w:val="22"/>
                <w:szCs w:val="28"/>
              </w:rPr>
            </w:pPr>
            <w:r w:rsidRPr="00E271D1">
              <w:rPr>
                <w:rFonts w:hint="eastAsia"/>
                <w:sz w:val="22"/>
                <w:szCs w:val="28"/>
              </w:rPr>
              <w:t>実施内容</w:t>
            </w:r>
          </w:p>
        </w:tc>
        <w:tc>
          <w:tcPr>
            <w:tcW w:w="6804" w:type="dxa"/>
            <w:vAlign w:val="center"/>
          </w:tcPr>
          <w:p w14:paraId="71B8808C" w14:textId="77777777" w:rsidR="00BF4A66" w:rsidRPr="00E271D1" w:rsidRDefault="00BF4A66" w:rsidP="00BF4A66">
            <w:pPr>
              <w:rPr>
                <w:sz w:val="22"/>
                <w:szCs w:val="28"/>
              </w:rPr>
            </w:pPr>
            <w:r w:rsidRPr="00E271D1">
              <w:rPr>
                <w:rFonts w:hint="eastAsia"/>
                <w:sz w:val="22"/>
                <w:szCs w:val="28"/>
              </w:rPr>
              <w:t>・円滑に業務を実施できるよう実施方法や手段、時期等が明確に示されている。</w:t>
            </w:r>
          </w:p>
          <w:p w14:paraId="4E286841" w14:textId="77777777" w:rsidR="00BF4A66" w:rsidRPr="00E271D1" w:rsidRDefault="00BF4A66" w:rsidP="00BF4A66">
            <w:pPr>
              <w:rPr>
                <w:sz w:val="22"/>
                <w:szCs w:val="28"/>
              </w:rPr>
            </w:pPr>
            <w:r w:rsidRPr="00E271D1">
              <w:rPr>
                <w:rFonts w:hint="eastAsia"/>
                <w:sz w:val="22"/>
                <w:szCs w:val="28"/>
              </w:rPr>
              <w:t>・示された内容、手段、実施時期などを実現するための考え方や手段が具体的に提案されている。</w:t>
            </w:r>
          </w:p>
        </w:tc>
        <w:tc>
          <w:tcPr>
            <w:tcW w:w="1276" w:type="dxa"/>
            <w:vAlign w:val="center"/>
          </w:tcPr>
          <w:p w14:paraId="7F3466F1" w14:textId="77777777" w:rsidR="00BF4A66" w:rsidRPr="00E271D1" w:rsidRDefault="00BF4A66" w:rsidP="00BF4A66">
            <w:pPr>
              <w:jc w:val="center"/>
              <w:rPr>
                <w:sz w:val="22"/>
                <w:szCs w:val="28"/>
              </w:rPr>
            </w:pPr>
            <w:r w:rsidRPr="00E271D1">
              <w:rPr>
                <w:rFonts w:hint="eastAsia"/>
                <w:sz w:val="22"/>
                <w:szCs w:val="28"/>
              </w:rPr>
              <w:t>２０</w:t>
            </w:r>
          </w:p>
        </w:tc>
      </w:tr>
      <w:tr w:rsidR="00BF4A66" w:rsidRPr="00E271D1" w14:paraId="618D9F35" w14:textId="77777777" w:rsidTr="00BF4A66">
        <w:tc>
          <w:tcPr>
            <w:tcW w:w="2830" w:type="dxa"/>
          </w:tcPr>
          <w:p w14:paraId="6F79802A" w14:textId="77777777" w:rsidR="00BF4A66" w:rsidRPr="00E271D1" w:rsidRDefault="00BF4A66" w:rsidP="00BF4A66">
            <w:pPr>
              <w:rPr>
                <w:sz w:val="22"/>
                <w:szCs w:val="28"/>
              </w:rPr>
            </w:pPr>
            <w:r w:rsidRPr="00E271D1">
              <w:rPr>
                <w:rFonts w:hint="eastAsia"/>
                <w:sz w:val="22"/>
                <w:szCs w:val="28"/>
              </w:rPr>
              <w:t>実施体制及び運営</w:t>
            </w:r>
          </w:p>
        </w:tc>
        <w:tc>
          <w:tcPr>
            <w:tcW w:w="6804" w:type="dxa"/>
            <w:vAlign w:val="center"/>
          </w:tcPr>
          <w:p w14:paraId="2336CCE3" w14:textId="77777777" w:rsidR="00BF4A66" w:rsidRPr="00E271D1" w:rsidRDefault="00BF4A66" w:rsidP="00BF4A66">
            <w:pPr>
              <w:rPr>
                <w:sz w:val="22"/>
                <w:szCs w:val="28"/>
              </w:rPr>
            </w:pPr>
            <w:r w:rsidRPr="00E271D1">
              <w:rPr>
                <w:rFonts w:hint="eastAsia"/>
                <w:sz w:val="22"/>
                <w:szCs w:val="28"/>
              </w:rPr>
              <w:t>・委託業務の業務量が具体的に検討され、現実的な体制が示されている。</w:t>
            </w:r>
          </w:p>
          <w:p w14:paraId="085EDD3C" w14:textId="77777777" w:rsidR="00BF4A66" w:rsidRPr="00E271D1" w:rsidRDefault="00BF4A66" w:rsidP="00BF4A66">
            <w:pPr>
              <w:rPr>
                <w:sz w:val="22"/>
                <w:szCs w:val="28"/>
              </w:rPr>
            </w:pPr>
            <w:r w:rsidRPr="00E271D1">
              <w:rPr>
                <w:rFonts w:hint="eastAsia"/>
                <w:sz w:val="22"/>
                <w:szCs w:val="28"/>
              </w:rPr>
              <w:t>・適切な相談対応を行うことのできる専門的な知識を持つ人員及びシステムに精通した人員等の確保が提案されている。</w:t>
            </w:r>
          </w:p>
          <w:p w14:paraId="3A5A0630" w14:textId="77777777" w:rsidR="00BF4A66" w:rsidRPr="00E271D1" w:rsidRDefault="00BF4A66" w:rsidP="00BF4A66">
            <w:pPr>
              <w:rPr>
                <w:sz w:val="22"/>
                <w:szCs w:val="28"/>
              </w:rPr>
            </w:pPr>
            <w:r w:rsidRPr="00E271D1">
              <w:rPr>
                <w:rFonts w:hint="eastAsia"/>
                <w:sz w:val="22"/>
                <w:szCs w:val="28"/>
              </w:rPr>
              <w:t>・業務の遂行にあたって、労働基準法や最低賃金法等の労働法規</w:t>
            </w:r>
            <w:r>
              <w:rPr>
                <w:rFonts w:hint="eastAsia"/>
                <w:sz w:val="22"/>
                <w:szCs w:val="28"/>
              </w:rPr>
              <w:t>が遵守されており、さらに相談員のスキルアップ研修や人材育成指針を適正に実施することで、法令順守の確保と人材育成の推進がされている。</w:t>
            </w:r>
          </w:p>
          <w:p w14:paraId="2AAC2C8A" w14:textId="77777777" w:rsidR="00BF4A66" w:rsidRPr="00E271D1" w:rsidRDefault="00BF4A66" w:rsidP="00BF4A66">
            <w:pPr>
              <w:rPr>
                <w:sz w:val="22"/>
                <w:szCs w:val="28"/>
              </w:rPr>
            </w:pPr>
            <w:r w:rsidRPr="00E271D1">
              <w:rPr>
                <w:rFonts w:hint="eastAsia"/>
                <w:sz w:val="22"/>
                <w:szCs w:val="28"/>
              </w:rPr>
              <w:t>・その他、上記以外で追加提案がされている。</w:t>
            </w:r>
          </w:p>
        </w:tc>
        <w:tc>
          <w:tcPr>
            <w:tcW w:w="1276" w:type="dxa"/>
            <w:vAlign w:val="center"/>
          </w:tcPr>
          <w:p w14:paraId="2A358074" w14:textId="77777777" w:rsidR="00BF4A66" w:rsidRPr="00E271D1" w:rsidRDefault="00BF4A66" w:rsidP="00BF4A66">
            <w:pPr>
              <w:jc w:val="center"/>
              <w:rPr>
                <w:sz w:val="22"/>
                <w:szCs w:val="28"/>
              </w:rPr>
            </w:pPr>
            <w:r w:rsidRPr="00E271D1">
              <w:rPr>
                <w:rFonts w:hint="eastAsia"/>
                <w:sz w:val="22"/>
                <w:szCs w:val="28"/>
              </w:rPr>
              <w:t>２０</w:t>
            </w:r>
          </w:p>
        </w:tc>
      </w:tr>
      <w:tr w:rsidR="00BF4A66" w:rsidRPr="00E271D1" w14:paraId="29D4F44E" w14:textId="77777777" w:rsidTr="00BF4A66">
        <w:tc>
          <w:tcPr>
            <w:tcW w:w="2830" w:type="dxa"/>
          </w:tcPr>
          <w:p w14:paraId="11218F85" w14:textId="77777777" w:rsidR="00BF4A66" w:rsidRPr="00E271D1" w:rsidRDefault="00BF4A66" w:rsidP="00BF4A66">
            <w:pPr>
              <w:rPr>
                <w:sz w:val="22"/>
                <w:szCs w:val="28"/>
              </w:rPr>
            </w:pPr>
            <w:r w:rsidRPr="00E271D1">
              <w:rPr>
                <w:rFonts w:hint="eastAsia"/>
                <w:sz w:val="22"/>
                <w:szCs w:val="28"/>
              </w:rPr>
              <w:t>個人情報等の保護について</w:t>
            </w:r>
          </w:p>
        </w:tc>
        <w:tc>
          <w:tcPr>
            <w:tcW w:w="6804" w:type="dxa"/>
            <w:vAlign w:val="center"/>
          </w:tcPr>
          <w:p w14:paraId="4F8B9DEF" w14:textId="77777777" w:rsidR="00BF4A66" w:rsidRPr="00E271D1" w:rsidRDefault="00BF4A66" w:rsidP="00BF4A66">
            <w:pPr>
              <w:rPr>
                <w:sz w:val="22"/>
                <w:szCs w:val="28"/>
              </w:rPr>
            </w:pPr>
            <w:r w:rsidRPr="00E271D1">
              <w:rPr>
                <w:rFonts w:hint="eastAsia"/>
                <w:sz w:val="22"/>
                <w:szCs w:val="28"/>
              </w:rPr>
              <w:t>・個人情報（特定個人情報を含む。）の取り扱いに係る考え方が明確かつ適切であり、実現するための手段が具体的に提案されている。</w:t>
            </w:r>
          </w:p>
          <w:p w14:paraId="3A36B1A4" w14:textId="77777777" w:rsidR="00BF4A66" w:rsidRPr="00E271D1" w:rsidRDefault="00BF4A66" w:rsidP="00BF4A66">
            <w:pPr>
              <w:rPr>
                <w:sz w:val="22"/>
                <w:szCs w:val="28"/>
              </w:rPr>
            </w:pPr>
            <w:r w:rsidRPr="00E271D1">
              <w:rPr>
                <w:rFonts w:hint="eastAsia"/>
                <w:sz w:val="22"/>
                <w:szCs w:val="28"/>
              </w:rPr>
              <w:t>・危機管理（未然の防止や、</w:t>
            </w:r>
            <w:r>
              <w:rPr>
                <w:rFonts w:hint="eastAsia"/>
                <w:sz w:val="22"/>
                <w:szCs w:val="28"/>
              </w:rPr>
              <w:t>事象</w:t>
            </w:r>
            <w:r w:rsidRPr="00E271D1">
              <w:rPr>
                <w:rFonts w:hint="eastAsia"/>
                <w:sz w:val="22"/>
                <w:szCs w:val="28"/>
              </w:rPr>
              <w:t>発生後の適切な対処及び再発防止の</w:t>
            </w:r>
            <w:r>
              <w:rPr>
                <w:rFonts w:hint="eastAsia"/>
                <w:sz w:val="22"/>
                <w:szCs w:val="28"/>
              </w:rPr>
              <w:t>研修や</w:t>
            </w:r>
            <w:r w:rsidRPr="00E271D1">
              <w:rPr>
                <w:rFonts w:hint="eastAsia"/>
                <w:sz w:val="22"/>
                <w:szCs w:val="28"/>
              </w:rPr>
              <w:t>措置を含む</w:t>
            </w:r>
            <w:r>
              <w:rPr>
                <w:rFonts w:hint="eastAsia"/>
                <w:sz w:val="22"/>
                <w:szCs w:val="28"/>
              </w:rPr>
              <w:t>取り組み</w:t>
            </w:r>
            <w:r w:rsidRPr="00E271D1">
              <w:rPr>
                <w:rFonts w:hint="eastAsia"/>
                <w:sz w:val="22"/>
                <w:szCs w:val="28"/>
              </w:rPr>
              <w:t>。）を踏まえ、具体的かつ現実的な個人情報の取り扱いが検討され、示されている。</w:t>
            </w:r>
          </w:p>
        </w:tc>
        <w:tc>
          <w:tcPr>
            <w:tcW w:w="1276" w:type="dxa"/>
            <w:vAlign w:val="center"/>
          </w:tcPr>
          <w:p w14:paraId="5F49B5EB" w14:textId="77777777" w:rsidR="00BF4A66" w:rsidRPr="00E271D1" w:rsidRDefault="00BF4A66" w:rsidP="00BF4A66">
            <w:pPr>
              <w:jc w:val="center"/>
              <w:rPr>
                <w:sz w:val="22"/>
                <w:szCs w:val="28"/>
              </w:rPr>
            </w:pPr>
            <w:r w:rsidRPr="00E271D1">
              <w:rPr>
                <w:rFonts w:hint="eastAsia"/>
                <w:sz w:val="22"/>
                <w:szCs w:val="28"/>
              </w:rPr>
              <w:t>２０</w:t>
            </w:r>
          </w:p>
        </w:tc>
      </w:tr>
      <w:tr w:rsidR="00BF4A66" w:rsidRPr="00E271D1" w14:paraId="21466FAE" w14:textId="77777777" w:rsidTr="00BF4A66">
        <w:tc>
          <w:tcPr>
            <w:tcW w:w="2830" w:type="dxa"/>
          </w:tcPr>
          <w:p w14:paraId="69AD1872" w14:textId="77777777" w:rsidR="00BF4A66" w:rsidRPr="00E271D1" w:rsidRDefault="00BF4A66" w:rsidP="00BF4A66">
            <w:pPr>
              <w:rPr>
                <w:sz w:val="22"/>
                <w:szCs w:val="28"/>
              </w:rPr>
            </w:pPr>
            <w:r w:rsidRPr="00E271D1">
              <w:rPr>
                <w:rFonts w:hint="eastAsia"/>
                <w:sz w:val="22"/>
                <w:szCs w:val="28"/>
              </w:rPr>
              <w:t>類似業務に関する実績</w:t>
            </w:r>
          </w:p>
        </w:tc>
        <w:tc>
          <w:tcPr>
            <w:tcW w:w="6804" w:type="dxa"/>
            <w:vAlign w:val="center"/>
          </w:tcPr>
          <w:p w14:paraId="42B40DE7" w14:textId="77777777" w:rsidR="00BF4A66" w:rsidRDefault="00BF4A66" w:rsidP="00BF4A66">
            <w:pPr>
              <w:rPr>
                <w:sz w:val="22"/>
                <w:szCs w:val="28"/>
              </w:rPr>
            </w:pPr>
            <w:r w:rsidRPr="00E271D1">
              <w:rPr>
                <w:rFonts w:hint="eastAsia"/>
                <w:sz w:val="22"/>
                <w:szCs w:val="28"/>
              </w:rPr>
              <w:t>・過去に類似業務を受注し、円滑に実施した実績を有している。</w:t>
            </w:r>
          </w:p>
          <w:p w14:paraId="308FAB86" w14:textId="5925FC80" w:rsidR="00590096" w:rsidRPr="00E271D1" w:rsidRDefault="00590096" w:rsidP="00BF4A66">
            <w:pPr>
              <w:rPr>
                <w:rFonts w:hint="eastAsia"/>
                <w:sz w:val="22"/>
                <w:szCs w:val="28"/>
              </w:rPr>
            </w:pPr>
            <w:r w:rsidRPr="00590096">
              <w:rPr>
                <w:rFonts w:hint="eastAsia"/>
              </w:rPr>
              <w:t>※最大で10件まで</w:t>
            </w:r>
          </w:p>
        </w:tc>
        <w:tc>
          <w:tcPr>
            <w:tcW w:w="1276" w:type="dxa"/>
            <w:vAlign w:val="center"/>
          </w:tcPr>
          <w:p w14:paraId="12B412EB" w14:textId="77777777" w:rsidR="00BF4A66" w:rsidRPr="00E271D1" w:rsidRDefault="00BF4A66" w:rsidP="00BF4A66">
            <w:pPr>
              <w:jc w:val="center"/>
              <w:rPr>
                <w:sz w:val="22"/>
                <w:szCs w:val="28"/>
              </w:rPr>
            </w:pPr>
            <w:r w:rsidRPr="00E271D1">
              <w:rPr>
                <w:rFonts w:hint="eastAsia"/>
                <w:sz w:val="22"/>
                <w:szCs w:val="28"/>
              </w:rPr>
              <w:t>１０</w:t>
            </w:r>
          </w:p>
        </w:tc>
      </w:tr>
      <w:tr w:rsidR="00BF4A66" w:rsidRPr="00E271D1" w14:paraId="450D1E83" w14:textId="77777777" w:rsidTr="00BF4A66">
        <w:tc>
          <w:tcPr>
            <w:tcW w:w="2830" w:type="dxa"/>
            <w:tcBorders>
              <w:bottom w:val="single" w:sz="4" w:space="0" w:color="auto"/>
            </w:tcBorders>
          </w:tcPr>
          <w:p w14:paraId="2637236E" w14:textId="77777777" w:rsidR="00BF4A66" w:rsidRPr="00E271D1" w:rsidRDefault="00BF4A66" w:rsidP="00BF4A66">
            <w:pPr>
              <w:rPr>
                <w:sz w:val="22"/>
                <w:szCs w:val="28"/>
              </w:rPr>
            </w:pPr>
            <w:r w:rsidRPr="00E271D1">
              <w:rPr>
                <w:rFonts w:hint="eastAsia"/>
                <w:sz w:val="22"/>
                <w:szCs w:val="28"/>
              </w:rPr>
              <w:t>費用見積額</w:t>
            </w:r>
          </w:p>
        </w:tc>
        <w:tc>
          <w:tcPr>
            <w:tcW w:w="6804" w:type="dxa"/>
            <w:tcBorders>
              <w:bottom w:val="single" w:sz="4" w:space="0" w:color="auto"/>
            </w:tcBorders>
            <w:vAlign w:val="center"/>
          </w:tcPr>
          <w:p w14:paraId="2C56F5CC" w14:textId="77777777" w:rsidR="00BF4A66" w:rsidRPr="0092251B" w:rsidRDefault="00BF4A66" w:rsidP="00BF4A66">
            <w:pPr>
              <w:rPr>
                <w:sz w:val="22"/>
                <w:szCs w:val="28"/>
              </w:rPr>
            </w:pPr>
            <w:r w:rsidRPr="0092251B">
              <w:rPr>
                <w:rFonts w:hint="eastAsia"/>
                <w:sz w:val="22"/>
                <w:szCs w:val="28"/>
              </w:rPr>
              <w:t>・提案見積金額を下記計算式により評価点を算出する。（10点）</w:t>
            </w:r>
          </w:p>
          <w:p w14:paraId="679EDA51" w14:textId="77777777" w:rsidR="00BF4A66" w:rsidRDefault="00BF4A66" w:rsidP="00BF4A66">
            <w:pPr>
              <w:rPr>
                <w:sz w:val="22"/>
                <w:szCs w:val="28"/>
              </w:rPr>
            </w:pPr>
            <w:r w:rsidRPr="0092251B">
              <w:rPr>
                <w:rFonts w:hint="eastAsia"/>
                <w:sz w:val="22"/>
                <w:szCs w:val="28"/>
              </w:rPr>
              <w:t xml:space="preserve">計算式＝　</w:t>
            </w:r>
          </w:p>
          <w:p w14:paraId="1F206DDA" w14:textId="7D9F697D" w:rsidR="00BF4A66" w:rsidRPr="0092251B" w:rsidRDefault="00BF4A66" w:rsidP="00BF4A66">
            <w:pPr>
              <w:rPr>
                <w:sz w:val="22"/>
                <w:szCs w:val="28"/>
              </w:rPr>
            </w:pPr>
            <w:r w:rsidRPr="0092251B">
              <w:rPr>
                <w:rFonts w:hint="eastAsia"/>
                <w:sz w:val="22"/>
                <w:szCs w:val="28"/>
              </w:rPr>
              <w:t>（提案上限額－提案見積額）/（提案上限額－最低提案見積額）×10点</w:t>
            </w:r>
          </w:p>
          <w:p w14:paraId="3A22F666" w14:textId="77777777" w:rsidR="00BF4A66" w:rsidRPr="0092251B" w:rsidRDefault="00BF4A66" w:rsidP="00BF4A66">
            <w:pPr>
              <w:rPr>
                <w:sz w:val="20"/>
                <w:szCs w:val="22"/>
              </w:rPr>
            </w:pPr>
            <w:r w:rsidRPr="0092251B">
              <w:rPr>
                <w:rFonts w:hint="eastAsia"/>
                <w:sz w:val="20"/>
                <w:szCs w:val="22"/>
              </w:rPr>
              <w:t>※少数点切り捨てとする。</w:t>
            </w:r>
          </w:p>
          <w:p w14:paraId="6A53755A" w14:textId="77777777" w:rsidR="00BF4A66" w:rsidRPr="00E271D1" w:rsidRDefault="00BF4A66" w:rsidP="00BF4A66">
            <w:pPr>
              <w:rPr>
                <w:sz w:val="22"/>
                <w:szCs w:val="28"/>
              </w:rPr>
            </w:pPr>
            <w:r w:rsidRPr="0092251B">
              <w:rPr>
                <w:rFonts w:hint="eastAsia"/>
                <w:sz w:val="20"/>
                <w:szCs w:val="22"/>
              </w:rPr>
              <w:t>※参加者が1者のみの場合は6点とする。</w:t>
            </w:r>
          </w:p>
        </w:tc>
        <w:tc>
          <w:tcPr>
            <w:tcW w:w="1276" w:type="dxa"/>
            <w:tcBorders>
              <w:bottom w:val="single" w:sz="4" w:space="0" w:color="auto"/>
            </w:tcBorders>
            <w:vAlign w:val="center"/>
          </w:tcPr>
          <w:p w14:paraId="1EC9F6C8" w14:textId="77777777" w:rsidR="00BF4A66" w:rsidRPr="00E271D1" w:rsidRDefault="00BF4A66" w:rsidP="00BF4A66">
            <w:pPr>
              <w:jc w:val="center"/>
              <w:rPr>
                <w:sz w:val="22"/>
                <w:szCs w:val="28"/>
              </w:rPr>
            </w:pPr>
            <w:r w:rsidRPr="00E271D1">
              <w:rPr>
                <w:rFonts w:hint="eastAsia"/>
                <w:sz w:val="22"/>
                <w:szCs w:val="28"/>
              </w:rPr>
              <w:t>１０</w:t>
            </w:r>
          </w:p>
        </w:tc>
      </w:tr>
      <w:tr w:rsidR="00BF4A66" w:rsidRPr="00E271D1" w14:paraId="5274356A" w14:textId="77777777" w:rsidTr="00BF4A66">
        <w:trPr>
          <w:trHeight w:val="517"/>
        </w:trPr>
        <w:tc>
          <w:tcPr>
            <w:tcW w:w="9634" w:type="dxa"/>
            <w:gridSpan w:val="2"/>
            <w:shd w:val="clear" w:color="auto" w:fill="E8E8E8" w:themeFill="background2"/>
            <w:vAlign w:val="center"/>
          </w:tcPr>
          <w:p w14:paraId="235868D9" w14:textId="77777777" w:rsidR="00BF4A66" w:rsidRPr="006D3005" w:rsidRDefault="00BF4A66" w:rsidP="00BF4A66">
            <w:pPr>
              <w:jc w:val="center"/>
              <w:rPr>
                <w:sz w:val="24"/>
                <w:szCs w:val="32"/>
              </w:rPr>
            </w:pPr>
            <w:r w:rsidRPr="006D3005">
              <w:rPr>
                <w:rFonts w:hint="eastAsia"/>
                <w:sz w:val="24"/>
                <w:szCs w:val="32"/>
              </w:rPr>
              <w:t>合計</w:t>
            </w:r>
          </w:p>
        </w:tc>
        <w:tc>
          <w:tcPr>
            <w:tcW w:w="1276" w:type="dxa"/>
            <w:shd w:val="clear" w:color="auto" w:fill="E8E8E8" w:themeFill="background2"/>
            <w:vAlign w:val="center"/>
          </w:tcPr>
          <w:p w14:paraId="11BB1DD5" w14:textId="77777777" w:rsidR="00BF4A66" w:rsidRPr="006D3005" w:rsidRDefault="00BF4A66" w:rsidP="00BF4A66">
            <w:pPr>
              <w:jc w:val="center"/>
              <w:rPr>
                <w:sz w:val="24"/>
                <w:szCs w:val="32"/>
              </w:rPr>
            </w:pPr>
            <w:r w:rsidRPr="006D3005">
              <w:rPr>
                <w:rFonts w:hint="eastAsia"/>
                <w:sz w:val="24"/>
                <w:szCs w:val="32"/>
              </w:rPr>
              <w:t>１００</w:t>
            </w:r>
          </w:p>
        </w:tc>
      </w:tr>
    </w:tbl>
    <w:p w14:paraId="43CEB7C8" w14:textId="3EA402AD" w:rsidR="00E22E13" w:rsidRPr="006D6FE3" w:rsidRDefault="00E22E13" w:rsidP="006D3005">
      <w:pPr>
        <w:rPr>
          <w:sz w:val="22"/>
          <w:szCs w:val="28"/>
        </w:rPr>
      </w:pPr>
      <w:r w:rsidRPr="006D6FE3">
        <w:rPr>
          <w:rFonts w:hint="eastAsia"/>
          <w:sz w:val="22"/>
          <w:szCs w:val="28"/>
        </w:rPr>
        <w:t>各項目の配転に応じて採点し、委員の総合計得点で最も高得点を得た者から順位を付けるものとする。</w:t>
      </w:r>
    </w:p>
    <w:p w14:paraId="53ED3143" w14:textId="6B393863" w:rsidR="0001595D" w:rsidRPr="006D6FE3" w:rsidRDefault="00E22E13">
      <w:pPr>
        <w:rPr>
          <w:sz w:val="22"/>
          <w:szCs w:val="28"/>
        </w:rPr>
      </w:pPr>
      <w:r w:rsidRPr="006D6FE3">
        <w:rPr>
          <w:rFonts w:hint="eastAsia"/>
          <w:sz w:val="22"/>
          <w:szCs w:val="28"/>
        </w:rPr>
        <w:t>２、その他</w:t>
      </w:r>
    </w:p>
    <w:p w14:paraId="7025CA99" w14:textId="2A319155" w:rsidR="00E22E13" w:rsidRPr="006D6FE3" w:rsidRDefault="00E22E13">
      <w:pPr>
        <w:rPr>
          <w:sz w:val="22"/>
          <w:szCs w:val="28"/>
        </w:rPr>
      </w:pPr>
      <w:r w:rsidRPr="006D6FE3">
        <w:rPr>
          <w:rFonts w:hint="eastAsia"/>
          <w:sz w:val="22"/>
          <w:szCs w:val="28"/>
        </w:rPr>
        <w:t>（１）有効な提案書を提出した参加者であって、総合得点の高い最優秀提案事業者を第1位の優先交渉者とし、契約締結前の協議において</w:t>
      </w:r>
      <w:r w:rsidR="000F47AC" w:rsidRPr="006D6FE3">
        <w:rPr>
          <w:rFonts w:hint="eastAsia"/>
          <w:sz w:val="22"/>
          <w:szCs w:val="28"/>
        </w:rPr>
        <w:t>両者が合意に至らなかった場合には次点者との協議を行い決定するものとする。</w:t>
      </w:r>
    </w:p>
    <w:p w14:paraId="25F7EF4E" w14:textId="4C4A21B2" w:rsidR="000F47AC" w:rsidRPr="006D6FE3" w:rsidRDefault="000F47AC">
      <w:pPr>
        <w:rPr>
          <w:sz w:val="22"/>
          <w:szCs w:val="28"/>
        </w:rPr>
      </w:pPr>
      <w:r w:rsidRPr="006D6FE3">
        <w:rPr>
          <w:rFonts w:hint="eastAsia"/>
          <w:sz w:val="22"/>
          <w:szCs w:val="28"/>
        </w:rPr>
        <w:t>（２）総合点数が同じ点数の場合は、見積価格が低い者か</w:t>
      </w:r>
      <w:r w:rsidR="00433BDF" w:rsidRPr="006D6FE3">
        <w:rPr>
          <w:rFonts w:hint="eastAsia"/>
          <w:sz w:val="22"/>
          <w:szCs w:val="28"/>
        </w:rPr>
        <w:t>ら</w:t>
      </w:r>
      <w:r w:rsidRPr="006D6FE3">
        <w:rPr>
          <w:rFonts w:hint="eastAsia"/>
          <w:sz w:val="22"/>
          <w:szCs w:val="28"/>
        </w:rPr>
        <w:t>順次上位の順位を付ける。</w:t>
      </w:r>
    </w:p>
    <w:p w14:paraId="7F927209" w14:textId="722C940C" w:rsidR="0022062B" w:rsidRPr="006D6FE3" w:rsidRDefault="0022062B">
      <w:pPr>
        <w:rPr>
          <w:sz w:val="22"/>
          <w:szCs w:val="28"/>
        </w:rPr>
      </w:pPr>
      <w:r w:rsidRPr="006D6FE3">
        <w:rPr>
          <w:rFonts w:hint="eastAsia"/>
          <w:sz w:val="22"/>
          <w:szCs w:val="28"/>
        </w:rPr>
        <w:t>（３）最低基準点は</w:t>
      </w:r>
      <w:r w:rsidR="00AD411D">
        <w:rPr>
          <w:rFonts w:hint="eastAsia"/>
          <w:sz w:val="22"/>
          <w:szCs w:val="28"/>
        </w:rPr>
        <w:t>平均</w:t>
      </w:r>
      <w:r w:rsidR="001204AA">
        <w:rPr>
          <w:rFonts w:hint="eastAsia"/>
          <w:sz w:val="22"/>
          <w:szCs w:val="28"/>
        </w:rPr>
        <w:t>点で</w:t>
      </w:r>
      <w:r w:rsidR="00AD411D">
        <w:rPr>
          <w:rFonts w:hint="eastAsia"/>
          <w:sz w:val="22"/>
          <w:szCs w:val="28"/>
        </w:rPr>
        <w:t>６</w:t>
      </w:r>
      <w:r w:rsidR="001204AA">
        <w:rPr>
          <w:rFonts w:hint="eastAsia"/>
          <w:sz w:val="22"/>
          <w:szCs w:val="28"/>
        </w:rPr>
        <w:t>０</w:t>
      </w:r>
      <w:r w:rsidRPr="006D6FE3">
        <w:rPr>
          <w:rFonts w:hint="eastAsia"/>
          <w:sz w:val="22"/>
          <w:szCs w:val="28"/>
        </w:rPr>
        <w:t>点とする。</w:t>
      </w:r>
    </w:p>
    <w:p w14:paraId="6DFB077E" w14:textId="77777777" w:rsidR="000F47AC" w:rsidRPr="006D6FE3" w:rsidRDefault="000F47AC">
      <w:pPr>
        <w:rPr>
          <w:sz w:val="22"/>
          <w:szCs w:val="28"/>
        </w:rPr>
      </w:pPr>
    </w:p>
    <w:p w14:paraId="18E09F9A" w14:textId="77777777" w:rsidR="000F47AC" w:rsidRDefault="000F47AC"/>
    <w:sectPr w:rsidR="000F47AC" w:rsidSect="00544F3E">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47CF6" w14:textId="77777777" w:rsidR="005F378C" w:rsidRDefault="005F378C" w:rsidP="005F378C">
      <w:r>
        <w:separator/>
      </w:r>
    </w:p>
  </w:endnote>
  <w:endnote w:type="continuationSeparator" w:id="0">
    <w:p w14:paraId="04CC22AE" w14:textId="77777777" w:rsidR="005F378C" w:rsidRDefault="005F378C" w:rsidP="005F3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B2153" w14:textId="77777777" w:rsidR="005F378C" w:rsidRDefault="005F378C" w:rsidP="005F378C">
      <w:r>
        <w:separator/>
      </w:r>
    </w:p>
  </w:footnote>
  <w:footnote w:type="continuationSeparator" w:id="0">
    <w:p w14:paraId="0A984174" w14:textId="77777777" w:rsidR="005F378C" w:rsidRDefault="005F378C" w:rsidP="005F37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B11"/>
    <w:rsid w:val="0000172D"/>
    <w:rsid w:val="0001595D"/>
    <w:rsid w:val="0003153A"/>
    <w:rsid w:val="00040B08"/>
    <w:rsid w:val="000F47AC"/>
    <w:rsid w:val="001204AA"/>
    <w:rsid w:val="0022062B"/>
    <w:rsid w:val="002B6054"/>
    <w:rsid w:val="00433BDF"/>
    <w:rsid w:val="00482DDB"/>
    <w:rsid w:val="004E0A09"/>
    <w:rsid w:val="00544F3E"/>
    <w:rsid w:val="00587EFB"/>
    <w:rsid w:val="00590096"/>
    <w:rsid w:val="005F378C"/>
    <w:rsid w:val="006043CB"/>
    <w:rsid w:val="00645368"/>
    <w:rsid w:val="006A3E9C"/>
    <w:rsid w:val="006D3005"/>
    <w:rsid w:val="006D6FE3"/>
    <w:rsid w:val="006F3D4D"/>
    <w:rsid w:val="00792A0D"/>
    <w:rsid w:val="00876B11"/>
    <w:rsid w:val="008F1057"/>
    <w:rsid w:val="0092251B"/>
    <w:rsid w:val="00923FC8"/>
    <w:rsid w:val="009D2ED5"/>
    <w:rsid w:val="009E2450"/>
    <w:rsid w:val="00AA3D96"/>
    <w:rsid w:val="00AD411D"/>
    <w:rsid w:val="00BB694D"/>
    <w:rsid w:val="00BF4A66"/>
    <w:rsid w:val="00C10862"/>
    <w:rsid w:val="00CD5639"/>
    <w:rsid w:val="00CE7EC6"/>
    <w:rsid w:val="00D936F6"/>
    <w:rsid w:val="00E22E13"/>
    <w:rsid w:val="00E81B26"/>
    <w:rsid w:val="00EC7FE9"/>
    <w:rsid w:val="00F62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27A01B6"/>
  <w15:chartTrackingRefBased/>
  <w15:docId w15:val="{CFE760E2-AF79-4378-9713-26493055C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P明朝 Medium" w:eastAsia="BIZ UDP明朝 Medium" w:hAnsi="BIZ UDP明朝 Medium"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3005"/>
  </w:style>
  <w:style w:type="paragraph" w:styleId="1">
    <w:name w:val="heading 1"/>
    <w:basedOn w:val="a"/>
    <w:next w:val="a"/>
    <w:link w:val="10"/>
    <w:uiPriority w:val="9"/>
    <w:qFormat/>
    <w:rsid w:val="00876B1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76B1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76B1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76B1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76B1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76B1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76B1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76B1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76B1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76B1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76B1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76B1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76B1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76B1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76B1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76B1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76B1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76B1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76B1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76B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6B1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76B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6B11"/>
    <w:pPr>
      <w:spacing w:before="160" w:after="160"/>
      <w:jc w:val="center"/>
    </w:pPr>
    <w:rPr>
      <w:i/>
      <w:iCs/>
      <w:color w:val="404040" w:themeColor="text1" w:themeTint="BF"/>
    </w:rPr>
  </w:style>
  <w:style w:type="character" w:customStyle="1" w:styleId="a8">
    <w:name w:val="引用文 (文字)"/>
    <w:basedOn w:val="a0"/>
    <w:link w:val="a7"/>
    <w:uiPriority w:val="29"/>
    <w:rsid w:val="00876B11"/>
    <w:rPr>
      <w:i/>
      <w:iCs/>
      <w:color w:val="404040" w:themeColor="text1" w:themeTint="BF"/>
    </w:rPr>
  </w:style>
  <w:style w:type="paragraph" w:styleId="a9">
    <w:name w:val="List Paragraph"/>
    <w:basedOn w:val="a"/>
    <w:uiPriority w:val="34"/>
    <w:qFormat/>
    <w:rsid w:val="00876B11"/>
    <w:pPr>
      <w:ind w:left="720"/>
      <w:contextualSpacing/>
    </w:pPr>
  </w:style>
  <w:style w:type="character" w:styleId="21">
    <w:name w:val="Intense Emphasis"/>
    <w:basedOn w:val="a0"/>
    <w:uiPriority w:val="21"/>
    <w:qFormat/>
    <w:rsid w:val="00876B11"/>
    <w:rPr>
      <w:i/>
      <w:iCs/>
      <w:color w:val="0F4761" w:themeColor="accent1" w:themeShade="BF"/>
    </w:rPr>
  </w:style>
  <w:style w:type="paragraph" w:styleId="22">
    <w:name w:val="Intense Quote"/>
    <w:basedOn w:val="a"/>
    <w:next w:val="a"/>
    <w:link w:val="23"/>
    <w:uiPriority w:val="30"/>
    <w:qFormat/>
    <w:rsid w:val="00876B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76B11"/>
    <w:rPr>
      <w:i/>
      <w:iCs/>
      <w:color w:val="0F4761" w:themeColor="accent1" w:themeShade="BF"/>
    </w:rPr>
  </w:style>
  <w:style w:type="character" w:styleId="24">
    <w:name w:val="Intense Reference"/>
    <w:basedOn w:val="a0"/>
    <w:uiPriority w:val="32"/>
    <w:qFormat/>
    <w:rsid w:val="00876B11"/>
    <w:rPr>
      <w:b/>
      <w:bCs/>
      <w:smallCaps/>
      <w:color w:val="0F4761" w:themeColor="accent1" w:themeShade="BF"/>
      <w:spacing w:val="5"/>
    </w:rPr>
  </w:style>
  <w:style w:type="table" w:styleId="aa">
    <w:name w:val="Table Grid"/>
    <w:basedOn w:val="a1"/>
    <w:uiPriority w:val="39"/>
    <w:rsid w:val="006D3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F378C"/>
    <w:pPr>
      <w:tabs>
        <w:tab w:val="center" w:pos="4252"/>
        <w:tab w:val="right" w:pos="8504"/>
      </w:tabs>
      <w:snapToGrid w:val="0"/>
    </w:pPr>
  </w:style>
  <w:style w:type="character" w:customStyle="1" w:styleId="ac">
    <w:name w:val="ヘッダー (文字)"/>
    <w:basedOn w:val="a0"/>
    <w:link w:val="ab"/>
    <w:uiPriority w:val="99"/>
    <w:rsid w:val="005F378C"/>
  </w:style>
  <w:style w:type="paragraph" w:styleId="ad">
    <w:name w:val="footer"/>
    <w:basedOn w:val="a"/>
    <w:link w:val="ae"/>
    <w:uiPriority w:val="99"/>
    <w:unhideWhenUsed/>
    <w:rsid w:val="005F378C"/>
    <w:pPr>
      <w:tabs>
        <w:tab w:val="center" w:pos="4252"/>
        <w:tab w:val="right" w:pos="8504"/>
      </w:tabs>
      <w:snapToGrid w:val="0"/>
    </w:pPr>
  </w:style>
  <w:style w:type="character" w:customStyle="1" w:styleId="ae">
    <w:name w:val="フッター (文字)"/>
    <w:basedOn w:val="a0"/>
    <w:link w:val="ad"/>
    <w:uiPriority w:val="99"/>
    <w:rsid w:val="005F3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287022">
      <w:bodyDiv w:val="1"/>
      <w:marLeft w:val="0"/>
      <w:marRight w:val="0"/>
      <w:marTop w:val="0"/>
      <w:marBottom w:val="0"/>
      <w:divBdr>
        <w:top w:val="none" w:sz="0" w:space="0" w:color="auto"/>
        <w:left w:val="none" w:sz="0" w:space="0" w:color="auto"/>
        <w:bottom w:val="none" w:sz="0" w:space="0" w:color="auto"/>
        <w:right w:val="none" w:sz="0" w:space="0" w:color="auto"/>
      </w:divBdr>
    </w:div>
    <w:div w:id="168867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9A8E1-348A-4F71-8B5E-410439E03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1</Pages>
  <Words>154</Words>
  <Characters>883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白木　智子</dc:creator>
  <cp:keywords/>
  <dc:description/>
  <cp:lastModifiedBy>白木　智子</cp:lastModifiedBy>
  <cp:revision>17</cp:revision>
  <dcterms:created xsi:type="dcterms:W3CDTF">2026-04-13T08:56:00Z</dcterms:created>
  <dcterms:modified xsi:type="dcterms:W3CDTF">2026-05-18T04:44:00Z</dcterms:modified>
</cp:coreProperties>
</file>